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Výtvarná výchova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kresba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osobitý přístup k realitě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linie, tvary, objemy, jejich rozvržení v obrazové ploše, v objemu, v prostoru, jejich vztahy, podobnost, kontrast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zobrazuje vlastní fantazijní představy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jednoduché základy perspektivy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výtvarném postupu projevuje vlastní výtvarnou individualitu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základních tvarových znaků a forem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malba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užívá techniku malby, texturu, míchá a vrství barvy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základních tvarových znaků a forem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teorie barev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barevné systémy – pojmenování barev, vyjádření základních tvarových znaků malby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malba vycházející ze skutečnosti a představy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prostorových a barevných vztazích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řešení barevných vztahů objektu a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grafika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základních grafických technikách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papíroryt, linoryt, monotyp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tvorbě užívá některé metody uplatňované v současném výtvarném umění a digitálních mediích – počítačová grafika, fotografie, video, animace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seznámení s funkcí písma a grafické tvorby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kombinované techniky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vybírá a samostatně vytváří novou škálu obrazných elementů zkušeností z vlastního vnímání, z představ a poznání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vyjádření základních tvarových znaků a forem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plošné kompozice z geometrických tvarů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seznamuje se s netradičními výtvarnými postupy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koláž, muchláž, práce s textilem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prostorová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vytváří společné kompozice prostoru - instalace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rozvedení lineárních kvalit materiálů do prostoru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hračky – loutka, zvíře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užívá obrazné vyjádření k zachycení získaných zkušeností pohybem, hmatem a sluchem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práce s papírem, hlínou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plenérová tvorba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tento tematický celek není navázán žádný ŠVP výstup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